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302A3" w14:paraId="66CA306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EBE77D" w14:textId="77777777" w:rsidR="009302A3" w:rsidRDefault="00DC3C5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31C7BE8" w14:textId="77777777" w:rsidR="009302A3" w:rsidRDefault="00DC3C52">
            <w:pPr>
              <w:spacing w:after="0" w:line="240" w:lineRule="auto"/>
            </w:pPr>
            <w:r>
              <w:t>51861</w:t>
            </w:r>
          </w:p>
        </w:tc>
      </w:tr>
      <w:tr w:rsidR="009302A3" w14:paraId="79C1F7B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B08176" w14:textId="77777777" w:rsidR="009302A3" w:rsidRDefault="00DC3C5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F639118" w14:textId="77777777" w:rsidR="009302A3" w:rsidRDefault="00DC3C52">
            <w:pPr>
              <w:spacing w:after="0" w:line="240" w:lineRule="auto"/>
            </w:pPr>
            <w:r>
              <w:t>OSNOVNA ŠKOLA CVJETNO</w:t>
            </w:r>
          </w:p>
        </w:tc>
      </w:tr>
      <w:tr w:rsidR="009302A3" w14:paraId="3BEBA54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48476D" w14:textId="77777777" w:rsidR="009302A3" w:rsidRDefault="00DC3C5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CE8D977" w14:textId="77777777" w:rsidR="009302A3" w:rsidRDefault="00DC3C52">
            <w:pPr>
              <w:spacing w:after="0" w:line="240" w:lineRule="auto"/>
            </w:pPr>
            <w:r>
              <w:t>31</w:t>
            </w:r>
          </w:p>
        </w:tc>
      </w:tr>
    </w:tbl>
    <w:p w14:paraId="5A2FDF11" w14:textId="77777777" w:rsidR="009302A3" w:rsidRDefault="00DC3C52">
      <w:r>
        <w:br/>
      </w:r>
    </w:p>
    <w:p w14:paraId="798D864F" w14:textId="77777777" w:rsidR="009302A3" w:rsidRDefault="00DC3C5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5667D8F" w14:textId="77777777" w:rsidR="009302A3" w:rsidRDefault="00DC3C5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7EBB058" w14:textId="77777777" w:rsidR="009302A3" w:rsidRDefault="00DC3C52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7D8C7D4" w14:textId="77777777" w:rsidR="009302A3" w:rsidRDefault="009302A3"/>
    <w:p w14:paraId="52770221" w14:textId="77777777" w:rsidR="009302A3" w:rsidRDefault="00DC3C5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A999E68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12EA22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EBD4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FD07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D3B3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6CDC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2439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78C9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157233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D3C71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44892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D74CE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6D70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563.063,41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5143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681.607,09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583E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  <w:tr w:rsidR="009302A3" w14:paraId="0EF7FBC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8FA4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5B32E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7D98D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20184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559.425,92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0F233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754.115,53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89926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134,8</w:t>
            </w:r>
          </w:p>
        </w:tc>
      </w:tr>
      <w:tr w:rsidR="009302A3" w14:paraId="23BD6FC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2EB3E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77D3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BA31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B6EDC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8C3C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72.508,44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BFC5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302A3" w14:paraId="7A4351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5DFA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24358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E3E7F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0321B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EF07B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C5AC7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302A3" w14:paraId="08F1E3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1E57F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DE5B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2A09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82F5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D6FC1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513B5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46,2</w:t>
            </w:r>
          </w:p>
        </w:tc>
      </w:tr>
      <w:tr w:rsidR="009302A3" w14:paraId="375A80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C541B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36A2C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CF61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8F37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02D4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53CC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46,2</w:t>
            </w:r>
          </w:p>
        </w:tc>
      </w:tr>
      <w:tr w:rsidR="009302A3" w14:paraId="4721EB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43A48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CA045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D2ED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9C0CC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626C7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A83E0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302A3" w14:paraId="226184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9515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2E8A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3109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FB80F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4FD6D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B20A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302A3" w14:paraId="7DAE60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6ECCA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86AC18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4DCB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49467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DFC2C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00C23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302A3" w14:paraId="0C8681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D9FA9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2DF72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31C7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46D0A0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E5F1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72.526,31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2F4CF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F32CA3F" w14:textId="77777777" w:rsidR="009302A3" w:rsidRDefault="009302A3">
      <w:pPr>
        <w:spacing w:after="0"/>
      </w:pPr>
    </w:p>
    <w:p w14:paraId="7A859D5D" w14:textId="77777777" w:rsidR="009302A3" w:rsidRDefault="00DC3C52">
      <w:pPr>
        <w:spacing w:line="240" w:lineRule="auto"/>
        <w:jc w:val="both"/>
      </w:pPr>
      <w:r>
        <w:t>Osnovna škola Cvjetno posluje u skladu sa Zakonom o odgoju i obrazovanju u osnovnoj i srednjoj školi (Nar. nov., broj 87/08, 86/09, 92/10, 105/10, 90/11, 5/12, 86/12, 126/12, 94/13, 152/14, 07/17, 68/18, 98/19, 64/20, 151/22, 156/23) te Statutom škole.  Šk</w:t>
      </w:r>
      <w:r>
        <w:t xml:space="preserve">ola je osnovana i započela s radom dana 01. travnja 2021. nakon što se odvojila od bivše matične škole Osnovne škole Vladimir Nazor iz Čepina. Škola obavlja djelatnost osnovnoškolskog obrazovanja te gospodarsku djelatnost iznajmljivanja školskog prostora. </w:t>
      </w:r>
      <w:r>
        <w:t xml:space="preserve">Osnovnoškolsko obrazovanje odvija se u jednoj zgradi u </w:t>
      </w:r>
      <w:proofErr w:type="spellStart"/>
      <w:r>
        <w:t>jednosmjenskoj</w:t>
      </w:r>
      <w:proofErr w:type="spellEnd"/>
      <w:r>
        <w:t xml:space="preserve"> nastavi.  Financijski izvještaji </w:t>
      </w:r>
      <w:r>
        <w:lastRenderedPageBreak/>
        <w:t>Osnovne škole Cvjetno su sastavljeni nakon što su proknjižene sve poslovne promjene, događaji i transakcije za razdoblje siječanj – lipanj 2025., nakon š</w:t>
      </w:r>
      <w:r>
        <w:t>to su knjiženja obavljena pravilno i ažurno temeljem vjerodostojne knjigovodstvene dokumentacije prema propisanom računskom planu i u skladu s financijskim planom odobrenim od nadležnih tijela uz primjenu načela po propisanom Pravilniku o proračunskom raču</w:t>
      </w:r>
      <w:r>
        <w:t>novodstvu i Računskom planu (NN 158/23). Izvještaji su sastavljeni i predaju se prema odredbama Pravilnika o financijskom izvještavanju u proračunskom računovodstvu (NN br. 37/22) u zakonom određenim rokovima što za proračunske korisnike jedinica lokalne i</w:t>
      </w:r>
      <w:r>
        <w:t xml:space="preserve"> područne (regionalne) samouprave znači predaju do 10. srpnja 2025. godine. Podaci u izvještaju se unose u eurima i </w:t>
      </w:r>
      <w:proofErr w:type="spellStart"/>
      <w:r>
        <w:t>eurocentima</w:t>
      </w:r>
      <w:proofErr w:type="spellEnd"/>
      <w:r>
        <w:t xml:space="preserve"> s obzirom da je od 1. siječnja 2023. euro službena valuta u Republici Hrvatskoj. Za sastavljanje i predaju financijskih izvješta</w:t>
      </w:r>
      <w:r>
        <w:t>ja korišteni su elektronski obrasci koji su preuzeti unutar aplikacije Financijsko izvještavanje u sustavu proračuna i Registar proračunskih i izvanproračunskih korisnika – RKPFI. Osoba odgovorna za sastavljanje financijskih izvještaja je voditeljica račun</w:t>
      </w:r>
      <w:r>
        <w:t>ovodstva Kristina Mennel, a odgovorna osoba za predaju financijskih izvještaja je ravnateljica Ivana Mihaljević.</w:t>
      </w:r>
    </w:p>
    <w:p w14:paraId="72F2E7C0" w14:textId="77777777" w:rsidR="009302A3" w:rsidRDefault="00DC3C52">
      <w:r>
        <w:br/>
      </w:r>
    </w:p>
    <w:p w14:paraId="6BB1B166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18F80E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F919D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1FBBD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37B5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FB83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AAFE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B2B47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1A717B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EBDBD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01F964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9436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A8FB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484.275,18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94C01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578.419,41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5B659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14:paraId="0E98F19F" w14:textId="77777777" w:rsidR="009302A3" w:rsidRDefault="009302A3">
      <w:pPr>
        <w:spacing w:after="0"/>
      </w:pPr>
    </w:p>
    <w:p w14:paraId="1C7A1F41" w14:textId="77777777" w:rsidR="009302A3" w:rsidRDefault="00DC3C52">
      <w:pPr>
        <w:spacing w:line="240" w:lineRule="auto"/>
        <w:jc w:val="both"/>
      </w:pPr>
      <w:r>
        <w:t xml:space="preserve">Na računu 6361 prikazuju se prihodi ostvareni od strane nadležnog Ministarstva znanosti, obrazovanja i mladih (MZOM) </w:t>
      </w:r>
      <w:r>
        <w:t>koji objedinjuju prihode za plaće i materijalna prava djelatnika i prihode za besplatni obrok učenicima. Navedeni cjelokupni prihodi pokazuju povećanje od 19,4 % u odnosu na prošlu godinu. Razlog tome je povećanje osnovice za obračun plaće koje se primjenj</w:t>
      </w:r>
      <w:r>
        <w:t>uje od plaće za veljaču 2025. što je pridonijelo značajnom rastu plaća, a ujedno i prihoda koji financiraju te iste plaće.</w:t>
      </w:r>
    </w:p>
    <w:p w14:paraId="140DC6D3" w14:textId="77777777" w:rsidR="009302A3" w:rsidRDefault="009302A3"/>
    <w:p w14:paraId="6F9147B1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12BA1B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8569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F0AD1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EC89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252C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F454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2C27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3877B1C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45AEB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095BB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CEEC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19CA3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13.261,00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31093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FBECD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14:paraId="62EC5AD6" w14:textId="77777777" w:rsidR="009302A3" w:rsidRDefault="009302A3">
      <w:pPr>
        <w:spacing w:after="0"/>
      </w:pPr>
    </w:p>
    <w:p w14:paraId="2065B662" w14:textId="77777777" w:rsidR="009302A3" w:rsidRDefault="00DC3C52">
      <w:pPr>
        <w:spacing w:line="240" w:lineRule="auto"/>
        <w:jc w:val="both"/>
      </w:pPr>
      <w:r>
        <w:t xml:space="preserve">Konto označava prihod po osnovi sufinanciranja roditelja za plaće djelatnika u produženom boravku, ali i uplate roditelja za topli obrok u produženom </w:t>
      </w:r>
      <w:r>
        <w:t>boravku. Navedeni prihodi za izvještajno razdoblje su veći za 11,1% u odnosu na prošlu godinu jer je upisano više učenika u program produženog boravka u odnosu na prošlu školsku godinu.</w:t>
      </w:r>
    </w:p>
    <w:p w14:paraId="7912A3FE" w14:textId="77777777" w:rsidR="009302A3" w:rsidRDefault="009302A3"/>
    <w:p w14:paraId="5B2A31AC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65331E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06A9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75F7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6C62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BAEBD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B5ED3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1C08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50BAAE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1AE08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EE6A0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5A75F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2966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1557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8CB44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B3BAA2" w14:textId="77777777" w:rsidR="009302A3" w:rsidRDefault="009302A3">
      <w:pPr>
        <w:spacing w:after="0"/>
      </w:pPr>
    </w:p>
    <w:p w14:paraId="1E0B9C24" w14:textId="77777777" w:rsidR="009302A3" w:rsidRDefault="00DC3C52">
      <w:pPr>
        <w:spacing w:line="240" w:lineRule="auto"/>
        <w:jc w:val="both"/>
      </w:pPr>
      <w:r>
        <w:t xml:space="preserve">Pozicija označava prihod od prodaje (otkupa) starog papira. U izvještajnom razdoblju prošle godine </w:t>
      </w:r>
      <w:r>
        <w:t>nije bio vidljiv prihod ove vrste iz razloga što nije u tom razdoblju bilo otkupa starog papira dok ove godine su u prvom tromjesečju naplaćeni računi za stari papir koji datiraju iz jeseni 2024. godine.</w:t>
      </w:r>
    </w:p>
    <w:p w14:paraId="3E71C8E6" w14:textId="77777777" w:rsidR="009302A3" w:rsidRDefault="009302A3"/>
    <w:p w14:paraId="2E3505C2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3DD942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AB40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92E2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BB40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65D0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C231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A4C9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3F2465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5F196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D1DD7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8D24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7B74C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FBFB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AB8E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14:paraId="72591183" w14:textId="77777777" w:rsidR="009302A3" w:rsidRDefault="009302A3">
      <w:pPr>
        <w:spacing w:after="0"/>
      </w:pPr>
    </w:p>
    <w:p w14:paraId="5E01C460" w14:textId="77777777" w:rsidR="009302A3" w:rsidRDefault="00DC3C52">
      <w:pPr>
        <w:spacing w:line="240" w:lineRule="auto"/>
        <w:jc w:val="both"/>
      </w:pPr>
      <w:r>
        <w:t xml:space="preserve">Pozicija označava prihod od iznajmljivanja školske sportske dvorane. Vidi se </w:t>
      </w:r>
      <w:r>
        <w:t>neznatno smanjenje prihoda za 3,5% u odnosu na prošlogodišnje razdoblje iz razloga manje termina održavanja aktivnosti u dvorani.</w:t>
      </w:r>
    </w:p>
    <w:p w14:paraId="04D78566" w14:textId="77777777" w:rsidR="009302A3" w:rsidRDefault="009302A3"/>
    <w:p w14:paraId="5B254A75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60DC48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65161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CDF23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926F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7D49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3E4C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B6B3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796055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375AD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65ED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134A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D9647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AF0B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09A6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14:paraId="7FAAF828" w14:textId="77777777" w:rsidR="009302A3" w:rsidRDefault="009302A3">
      <w:pPr>
        <w:spacing w:after="0"/>
      </w:pPr>
    </w:p>
    <w:p w14:paraId="5CFF183B" w14:textId="77777777" w:rsidR="009302A3" w:rsidRDefault="00DC3C52">
      <w:pPr>
        <w:spacing w:line="240" w:lineRule="auto"/>
        <w:jc w:val="both"/>
      </w:pPr>
      <w:r>
        <w:t xml:space="preserve">Donacije su za financiranje dnevnica učitelja na školskim ekskurzijama od strane turističkih agencija. U usporedbi s razdobljem prošle godine vidljivo je 50% manje </w:t>
      </w:r>
      <w:r>
        <w:t>ostvarenih prihoda za donacije. Razlog tome je manje organiziranih školskih izleta i ekskurzija u tekućoj školskoj godini u odnosu na prošlu.</w:t>
      </w:r>
    </w:p>
    <w:p w14:paraId="41517975" w14:textId="77777777" w:rsidR="009302A3" w:rsidRDefault="009302A3"/>
    <w:p w14:paraId="6DAD582A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1D34F0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C3B3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8A5D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F026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CB07D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BA1A7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5291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36FABC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8667C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80513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80D88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C0BD9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56.035,18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F5DF9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79.633,85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4E0A4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14:paraId="4C1DB0C5" w14:textId="77777777" w:rsidR="009302A3" w:rsidRDefault="009302A3">
      <w:pPr>
        <w:spacing w:after="0"/>
      </w:pPr>
    </w:p>
    <w:p w14:paraId="2A135999" w14:textId="77777777" w:rsidR="009302A3" w:rsidRDefault="00DC3C52">
      <w:pPr>
        <w:spacing w:line="240" w:lineRule="auto"/>
        <w:jc w:val="both"/>
      </w:pPr>
      <w:r>
        <w:t xml:space="preserve">Na računu 6711 evidentiraju se prihodi ostvareni od osnivača Grada Osijeka za financiranje redovne djelatnosti. Za izvještajno razdoblje prihodi iskazuju povećanje za 42,1% u odnosu </w:t>
      </w:r>
      <w:r>
        <w:lastRenderedPageBreak/>
        <w:t>na izvještajno razdoblje prošle godine. Razlog povećanju je više zaposleni</w:t>
      </w:r>
      <w:r>
        <w:t>h pomoćnika u nastavi nego u istom razdoblju prošle godine što je rezultiralo većim rashodima za njihove plaće, ali i prihodima računa 6711. Osim toga, povećani su rashodi materijala i usluga tekućeg i investicijskog održavanja koje se odrazilo na prihod i</w:t>
      </w:r>
      <w:r>
        <w:t>z nadležnog proračuna u većoj mjeri nego što je to bilo u prošlogodišnjem izvještajnom razdoblju.</w:t>
      </w:r>
    </w:p>
    <w:p w14:paraId="436108DD" w14:textId="77777777" w:rsidR="009302A3" w:rsidRDefault="009302A3"/>
    <w:p w14:paraId="7C9DEEA8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5CEE7B3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9A43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D64C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0639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85E6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AA67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1895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9302A3" w14:paraId="03AB166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8BD3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F226C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85B5C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58EE5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402.901,93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7C30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570.503,96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2CC7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5586213D" w14:textId="77777777" w:rsidR="009302A3" w:rsidRDefault="009302A3">
      <w:pPr>
        <w:spacing w:after="0"/>
      </w:pPr>
    </w:p>
    <w:p w14:paraId="15B5FC20" w14:textId="77777777" w:rsidR="009302A3" w:rsidRDefault="00DC3C52">
      <w:pPr>
        <w:spacing w:line="240" w:lineRule="auto"/>
        <w:jc w:val="both"/>
      </w:pPr>
      <w:r>
        <w:t xml:space="preserve">Na računu 3111 evidentiraju se rashodi za plaće djelatnika koje financira MZOM, ali i plaće djelatnika u produženom boravku kojeg financira Grad Osijek i djelomično roditelji polaznika </w:t>
      </w:r>
      <w:r>
        <w:t xml:space="preserve">produženog boravka. Račun 3111 uključuje i plaće pomoćnika u nastavi iz projekta „Osigurajmo im jednakost 8“ u koordinaciji s Gradom Osijekom. Odstupanje od 41,6% u odnosu na 2024. godinu je iz razloga već spomenute povećane osnovice za obračun plaće, ali </w:t>
      </w:r>
      <w:r>
        <w:t>najvećim dijelom je zbog prestanka iskazivanja plaće za lipanj 2025. na konto rashoda budućih razdoblja – 19311 (aktivna vremenska razgraničenja) primjenom novog Pravilnika o proračunskom računovodstvu i Računskom planu (NN 158/23). Pravilnik propisuje pre</w:t>
      </w:r>
      <w:r>
        <w:t>stanak korištenja tog konta u 2025. godini što je rezultiralo iskazivanjem rashoda sedam plaća od strane MZOM u izvještajnom razdoblju (prosinac 2024., siječanj, veljača, ožujak, travanj, svibanj i lipanj 2025.) umjesto šest plaća kako je bilo u prošlogodi</w:t>
      </w:r>
      <w:r>
        <w:t>šnjem izvještaju.</w:t>
      </w:r>
    </w:p>
    <w:p w14:paraId="01961EBC" w14:textId="77777777" w:rsidR="009302A3" w:rsidRDefault="009302A3"/>
    <w:p w14:paraId="7725D43B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466950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BD5A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FE3D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4CB8E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1F61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A41E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EC5D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165E53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B845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504DE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86F8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B7047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59.835,18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BF0C5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83.999,97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A2AF1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14:paraId="3BBAACBD" w14:textId="77777777" w:rsidR="009302A3" w:rsidRDefault="009302A3">
      <w:pPr>
        <w:spacing w:after="0"/>
      </w:pPr>
    </w:p>
    <w:p w14:paraId="0381AE6C" w14:textId="77777777" w:rsidR="009302A3" w:rsidRDefault="00DC3C52">
      <w:pPr>
        <w:spacing w:line="240" w:lineRule="auto"/>
        <w:jc w:val="both"/>
      </w:pPr>
      <w:r>
        <w:t>Račun prikazuje značajno povećanje od 40,4% iz istog razloga objašnjenog u prethodnoj bilješki zbog iskazivanja plaće za lipanj 2025. u izvještajnom razdoblju.</w:t>
      </w:r>
    </w:p>
    <w:p w14:paraId="210D1DF5" w14:textId="77777777" w:rsidR="009302A3" w:rsidRDefault="009302A3"/>
    <w:p w14:paraId="0F4306BD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0ECDB4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6461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CD55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1991D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BC8F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8DCD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CA6F4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542E7E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B5ED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185E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B43DE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757AC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B018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7748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</w:t>
            </w:r>
          </w:p>
        </w:tc>
      </w:tr>
    </w:tbl>
    <w:p w14:paraId="16B1AFE4" w14:textId="77777777" w:rsidR="009302A3" w:rsidRDefault="009302A3">
      <w:pPr>
        <w:spacing w:after="0"/>
      </w:pPr>
    </w:p>
    <w:p w14:paraId="39B580F7" w14:textId="77777777" w:rsidR="009302A3" w:rsidRDefault="00DC3C52">
      <w:pPr>
        <w:spacing w:line="240" w:lineRule="auto"/>
        <w:jc w:val="both"/>
      </w:pPr>
      <w:r>
        <w:t>Račun podrazumijeva razni uredski materijal, sredstva za čišćenje i higijenski materijal poput ubrusa. U tekućoj godini, za ovo razdoblje je vidljivo smanjenje od 38,7% iz razloga što su stvorene dovoljne zalihe navedenog u prosincu 2024. godine kad je osn</w:t>
      </w:r>
      <w:r>
        <w:t xml:space="preserve">ivač Grad Osijek </w:t>
      </w:r>
      <w:r>
        <w:lastRenderedPageBreak/>
        <w:t>izmjenama financijskog plana 2024. godine osigurao školama više sredstva za svrhe rashoda uredskog materijala te sredstava za čišćenje i higijenu.</w:t>
      </w:r>
    </w:p>
    <w:p w14:paraId="032153FC" w14:textId="77777777" w:rsidR="009302A3" w:rsidRDefault="009302A3"/>
    <w:p w14:paraId="309F8C44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4A1BAE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4DC8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C1C8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E3A0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5357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0500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AC88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4ED2C8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F34BD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96EAE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DD118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B5C4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F484F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5F41C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334,1</w:t>
            </w:r>
          </w:p>
        </w:tc>
      </w:tr>
    </w:tbl>
    <w:p w14:paraId="075A8ADD" w14:textId="77777777" w:rsidR="009302A3" w:rsidRDefault="009302A3">
      <w:pPr>
        <w:spacing w:after="0"/>
      </w:pPr>
    </w:p>
    <w:p w14:paraId="378DFACE" w14:textId="77777777" w:rsidR="009302A3" w:rsidRDefault="00DC3C52">
      <w:pPr>
        <w:spacing w:line="240" w:lineRule="auto"/>
        <w:jc w:val="both"/>
      </w:pPr>
      <w:r>
        <w:t xml:space="preserve">U 2025. je vidljivo značajno povećanje ovog rashoda iz razloga nužne potrebe raznih </w:t>
      </w:r>
      <w:r>
        <w:t>popravaka u školi na objektu ili opremi.</w:t>
      </w:r>
    </w:p>
    <w:p w14:paraId="5CDB855B" w14:textId="77777777" w:rsidR="009302A3" w:rsidRDefault="009302A3"/>
    <w:p w14:paraId="6C97C9B3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094CBD6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1C97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ADAB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6257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8A89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87894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6A9CB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256681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A8DDA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F0CCF3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33735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9B72F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55220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C7D7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247,1</w:t>
            </w:r>
          </w:p>
        </w:tc>
      </w:tr>
    </w:tbl>
    <w:p w14:paraId="688B45DC" w14:textId="77777777" w:rsidR="009302A3" w:rsidRDefault="009302A3">
      <w:pPr>
        <w:spacing w:after="0"/>
      </w:pPr>
    </w:p>
    <w:p w14:paraId="4203F6D8" w14:textId="77777777" w:rsidR="009302A3" w:rsidRDefault="00DC3C52">
      <w:pPr>
        <w:spacing w:line="240" w:lineRule="auto"/>
        <w:jc w:val="both"/>
      </w:pPr>
      <w:r>
        <w:t xml:space="preserve">Račun iskazuje troškove koji su bili nužni početkom 2025. godine poput servisa traktorske kosilice, ali i ugradnje sigurnosne brave sukladno preporukama osnivača i poštujući nova sigurnosna pravila koja su nastupila u 2025. </w:t>
      </w:r>
      <w:r>
        <w:t>godini za sve škole u RH i to je glavni razlog tako značajnom odstupanju rashoda ove prirode u usporedbi s prošlom godinom.</w:t>
      </w:r>
    </w:p>
    <w:p w14:paraId="2D2181DB" w14:textId="77777777" w:rsidR="009302A3" w:rsidRDefault="009302A3"/>
    <w:p w14:paraId="797F69AD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7E62E5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5F7C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E5BCB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4227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AC6A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4FBC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C7AE1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411650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3937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D03A4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16206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A69E7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DA81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59C9F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46,2</w:t>
            </w:r>
          </w:p>
        </w:tc>
      </w:tr>
    </w:tbl>
    <w:p w14:paraId="10222A03" w14:textId="77777777" w:rsidR="009302A3" w:rsidRDefault="009302A3">
      <w:pPr>
        <w:spacing w:after="0"/>
      </w:pPr>
    </w:p>
    <w:p w14:paraId="09B25FCD" w14:textId="77777777" w:rsidR="009302A3" w:rsidRDefault="00DC3C52">
      <w:pPr>
        <w:spacing w:line="240" w:lineRule="auto"/>
        <w:jc w:val="both"/>
      </w:pPr>
      <w:r>
        <w:t xml:space="preserve">Račun 4 predstavlja sve rashode koji su knjiženi kroz razred 4 računskog plana u izvještajnom razdoblju i pokazuje nabavku dugotrajne imovine. U ovom razdoblju ostvareno je 17,87 € rashoda na računu 4241 – Knjige jer je bilo potrebno nabaviti udžbenike za </w:t>
      </w:r>
      <w:r>
        <w:t xml:space="preserve">nove upisane učenike u drugom polugodištu </w:t>
      </w:r>
      <w:proofErr w:type="spellStart"/>
      <w:r>
        <w:t>šk.godine</w:t>
      </w:r>
      <w:proofErr w:type="spellEnd"/>
      <w:r>
        <w:t xml:space="preserve"> 2024./2025.</w:t>
      </w:r>
    </w:p>
    <w:p w14:paraId="1B12037B" w14:textId="77777777" w:rsidR="009302A3" w:rsidRDefault="009302A3"/>
    <w:p w14:paraId="1D1C4E84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28D807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CE6B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B95E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2AB31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E3C5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D784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CD94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705FF0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22398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0C3931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</w:t>
            </w:r>
            <w:r>
              <w:rPr>
                <w:sz w:val="18"/>
              </w:rPr>
              <w:t xml:space="preserve">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ABE67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76FB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4B4C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72.526,31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87AE8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8BA6EF" w14:textId="77777777" w:rsidR="009302A3" w:rsidRDefault="009302A3">
      <w:pPr>
        <w:spacing w:after="0"/>
      </w:pPr>
    </w:p>
    <w:p w14:paraId="278FF85E" w14:textId="77777777" w:rsidR="009302A3" w:rsidRDefault="00DC3C52">
      <w:pPr>
        <w:spacing w:line="240" w:lineRule="auto"/>
        <w:jc w:val="both"/>
      </w:pPr>
      <w:r>
        <w:t xml:space="preserve">U izvještajnom razdoblju ostvaren je manjak prihoda i primitaka u iznosu od 72.526,31 €. Manjak je metodološke prirode nastao zbog knjiženja spomenutog rashoda plaće za lipanj 2025. u izvještajno razdoblje 2025. </w:t>
      </w:r>
      <w:r>
        <w:t>godine umjesto korištenja kontinuiranih rashoda budućih razdoblja kako je to bilo prethodnih godina. Metodološki manjak će biti pokriven u srpnju 2025. godine kada dospijeva plaća za lipanj.</w:t>
      </w:r>
    </w:p>
    <w:p w14:paraId="5937E3F2" w14:textId="77777777" w:rsidR="009302A3" w:rsidRDefault="009302A3"/>
    <w:p w14:paraId="5030A4C9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7B0F552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EA61B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75A03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4F6D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E501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3BF8C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8505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259E2A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28586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91CC1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0DEFF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7B009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9031E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90.077,22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95210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3FD31008" w14:textId="77777777" w:rsidR="009302A3" w:rsidRDefault="009302A3">
      <w:pPr>
        <w:spacing w:after="0"/>
      </w:pPr>
    </w:p>
    <w:p w14:paraId="1F1ACE36" w14:textId="77777777" w:rsidR="009302A3" w:rsidRDefault="00DC3C52">
      <w:pPr>
        <w:spacing w:line="240" w:lineRule="auto"/>
        <w:jc w:val="both"/>
      </w:pPr>
      <w:r>
        <w:t xml:space="preserve">Zbrajanjem </w:t>
      </w:r>
      <w:r>
        <w:t>ostvarenog manjka prihoda i primitaka u izvještajnom razdoblju u iznosu od 72.526,31 € i prenesenog manjka prihoda i primitaka na dan 31.12.2024. g. u iznosu od 17.550,91 € dolazi se do rezultata ili manjka prihoda i primitaka za pokriće u sljedećem razdob</w:t>
      </w:r>
      <w:r>
        <w:t>lju u iznosu od 90.077,22 €.</w:t>
      </w:r>
    </w:p>
    <w:p w14:paraId="6265B625" w14:textId="77777777" w:rsidR="009302A3" w:rsidRDefault="009302A3"/>
    <w:p w14:paraId="7309A30C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2A3" w14:paraId="47FE2E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0FBFE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02A33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FA1B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BFCB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ACF66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34A82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0FEEC6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BA796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92EAF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kraju izvještajnog razdoblja </w:t>
            </w:r>
            <w:r>
              <w:rPr>
                <w:sz w:val="18"/>
              </w:rPr>
              <w:t>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0DFE5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A1262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00A4D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7F781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652AC12" w14:textId="77777777" w:rsidR="009302A3" w:rsidRDefault="009302A3">
      <w:pPr>
        <w:spacing w:after="0"/>
      </w:pPr>
    </w:p>
    <w:p w14:paraId="3CA001EF" w14:textId="77777777" w:rsidR="009302A3" w:rsidRDefault="00DC3C52">
      <w:pPr>
        <w:spacing w:line="240" w:lineRule="auto"/>
        <w:jc w:val="both"/>
      </w:pPr>
      <w:r>
        <w:t xml:space="preserve">Stanje novčanih sredstava na kraju izvještajnog razdoblja (šifra 11K) je 0,00 €. Razlog tome je ukidanje bankovnih računa svih proračunskih korisnika Grada Osijeka i funkcioniranje preko </w:t>
      </w:r>
      <w:r>
        <w:t>jedinstvenog računa na dan 31.12.2022.</w:t>
      </w:r>
    </w:p>
    <w:p w14:paraId="61770E08" w14:textId="77777777" w:rsidR="009302A3" w:rsidRDefault="009302A3"/>
    <w:p w14:paraId="2F622B70" w14:textId="77777777" w:rsidR="009302A3" w:rsidRDefault="00DC3C5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4293C0E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302A3" w14:paraId="7F5612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1D32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E78DB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F1C6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B4FA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5AEF8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40E487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FBAE0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50FB9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FBB7F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8DE76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105.231,18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B414A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296EE0" w14:textId="77777777" w:rsidR="009302A3" w:rsidRDefault="009302A3">
      <w:pPr>
        <w:spacing w:after="0"/>
      </w:pPr>
    </w:p>
    <w:p w14:paraId="428F3F6C" w14:textId="77777777" w:rsidR="009302A3" w:rsidRDefault="00DC3C52">
      <w:pPr>
        <w:spacing w:line="240" w:lineRule="auto"/>
        <w:jc w:val="both"/>
      </w:pPr>
      <w:r>
        <w:lastRenderedPageBreak/>
        <w:t xml:space="preserve">Ukupno stanje </w:t>
      </w:r>
      <w:r>
        <w:t>obveza na dan 30.06.2025. iznosi 105.231,18 € koje se sastoji od nedospjelih obveza.</w:t>
      </w:r>
    </w:p>
    <w:p w14:paraId="0C80E6FB" w14:textId="77777777" w:rsidR="009302A3" w:rsidRDefault="009302A3"/>
    <w:p w14:paraId="4829EF5E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302A3" w14:paraId="4DB3793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0CE3B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4622E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77A1E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4B0F5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57B99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7945BE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D3A1E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B91A0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E835D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425143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4664F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B9E529" w14:textId="77777777" w:rsidR="009302A3" w:rsidRDefault="009302A3">
      <w:pPr>
        <w:spacing w:after="0"/>
      </w:pPr>
    </w:p>
    <w:p w14:paraId="0D991AC2" w14:textId="77777777" w:rsidR="009302A3" w:rsidRDefault="00DC3C52">
      <w:pPr>
        <w:spacing w:line="240" w:lineRule="auto"/>
        <w:jc w:val="both"/>
      </w:pPr>
      <w:r>
        <w:t>U izvještajnom razdoblju nema dospjelih obveza.</w:t>
      </w:r>
    </w:p>
    <w:p w14:paraId="45A4352E" w14:textId="77777777" w:rsidR="009302A3" w:rsidRDefault="009302A3"/>
    <w:p w14:paraId="47990219" w14:textId="77777777" w:rsidR="009302A3" w:rsidRDefault="00DC3C5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302A3" w14:paraId="726BF2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2517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D5BDE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A083F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B465B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6F970" w14:textId="77777777" w:rsidR="009302A3" w:rsidRDefault="00DC3C5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2A3" w14:paraId="0A4437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7E81F" w14:textId="77777777" w:rsidR="009302A3" w:rsidRDefault="009302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0B352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C2442" w14:textId="77777777" w:rsidR="009302A3" w:rsidRDefault="00DC3C5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7DF26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105.231,18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8B995" w14:textId="77777777" w:rsidR="009302A3" w:rsidRDefault="00DC3C5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1260C6" w14:textId="77777777" w:rsidR="009302A3" w:rsidRDefault="009302A3">
      <w:pPr>
        <w:spacing w:after="0"/>
      </w:pPr>
    </w:p>
    <w:p w14:paraId="3A177102" w14:textId="77777777" w:rsidR="009302A3" w:rsidRDefault="00DC3C52">
      <w:pPr>
        <w:spacing w:line="240" w:lineRule="auto"/>
        <w:jc w:val="both"/>
      </w:pPr>
      <w:r>
        <w:t xml:space="preserve">Nedospjele obveze se većinskim dijelom (97.399,12 €) odnose na plaće i prijevoz za mjesec lipanj 2025. koje dospijevaju na plaćanje tijekom srpnja 2025., dok ostatak nedospjelih obveza se odnosi uglavnom na račune iz lipnja 2025. koji </w:t>
      </w:r>
      <w:r>
        <w:t>dospijevaju na plaćanje tijekom srpnja i kolovoza 2025. godine, te obveze za povrat u proračun – refundacije bolovanja prema HZZO-u i iznos više plaćenih poreza i doprinosa za korektivne obračune plaća.</w:t>
      </w:r>
    </w:p>
    <w:p w14:paraId="305734EA" w14:textId="77777777" w:rsidR="009302A3" w:rsidRDefault="009302A3"/>
    <w:p w14:paraId="0221DB44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66A352DA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1684E224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06D62A60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49C60437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2CF1C5DC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0665A9CA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07B475A1" w14:textId="77777777" w:rsidR="00B37984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5BD79EF8" w14:textId="3111521E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  <w:proofErr w:type="spellStart"/>
      <w:r w:rsidRPr="00D37C65">
        <w:rPr>
          <w:rFonts w:eastAsia="Times New Roman" w:cs="Times New Roman"/>
          <w:color w:val="000000"/>
        </w:rPr>
        <w:t>Briješće</w:t>
      </w:r>
      <w:proofErr w:type="spellEnd"/>
      <w:r w:rsidRPr="00D37C65">
        <w:rPr>
          <w:rFonts w:eastAsia="Times New Roman" w:cs="Times New Roman"/>
          <w:color w:val="000000"/>
        </w:rPr>
        <w:t xml:space="preserve">, </w:t>
      </w:r>
      <w:r>
        <w:rPr>
          <w:rFonts w:eastAsia="Times New Roman" w:cs="Times New Roman"/>
          <w:color w:val="000000"/>
        </w:rPr>
        <w:t>10</w:t>
      </w:r>
      <w:r w:rsidRPr="00D37C65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 xml:space="preserve">srpnja </w:t>
      </w:r>
      <w:r w:rsidRPr="00D37C65">
        <w:rPr>
          <w:rFonts w:eastAsia="Times New Roman" w:cs="Times New Roman"/>
          <w:color w:val="000000"/>
        </w:rPr>
        <w:t>202</w:t>
      </w:r>
      <w:r>
        <w:rPr>
          <w:rFonts w:eastAsia="Times New Roman" w:cs="Times New Roman"/>
          <w:color w:val="000000"/>
        </w:rPr>
        <w:t>5</w:t>
      </w:r>
      <w:r w:rsidRPr="00D37C65">
        <w:rPr>
          <w:rFonts w:eastAsia="Times New Roman" w:cs="Times New Roman"/>
          <w:color w:val="000000"/>
        </w:rPr>
        <w:t>.</w:t>
      </w:r>
    </w:p>
    <w:p w14:paraId="79FA7731" w14:textId="77777777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18BB909C" w14:textId="77777777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6EA7633F" w14:textId="77777777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26975908" w14:textId="77777777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14:paraId="173F462D" w14:textId="1D38637A" w:rsidR="00B37984" w:rsidRPr="00D37C65" w:rsidRDefault="00B37984" w:rsidP="00DC3C52">
      <w:pPr>
        <w:spacing w:after="0" w:line="240" w:lineRule="auto"/>
        <w:ind w:left="4956" w:hanging="4956"/>
        <w:rPr>
          <w:rFonts w:eastAsia="Times New Roman" w:cs="Times New Roman"/>
        </w:rPr>
      </w:pPr>
      <w:r w:rsidRPr="00D37C65">
        <w:rPr>
          <w:rFonts w:eastAsia="Times New Roman" w:cs="Times New Roman"/>
        </w:rPr>
        <w:t>Osoba za kontaktiranje:</w:t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bookmarkStart w:id="0" w:name="_GoBack"/>
      <w:bookmarkEnd w:id="0"/>
      <w:r w:rsidRPr="00D37C65">
        <w:rPr>
          <w:rFonts w:eastAsia="Times New Roman" w:cs="Times New Roman"/>
        </w:rPr>
        <w:t>Odgovorna osoba – ravnateljica:</w:t>
      </w:r>
    </w:p>
    <w:p w14:paraId="7173DDA6" w14:textId="77777777" w:rsidR="00B37984" w:rsidRPr="00D37C65" w:rsidRDefault="00B37984" w:rsidP="00B37984">
      <w:pPr>
        <w:spacing w:after="0" w:line="240" w:lineRule="auto"/>
        <w:rPr>
          <w:rFonts w:eastAsia="Times New Roman" w:cs="Times New Roman"/>
        </w:rPr>
      </w:pPr>
      <w:r w:rsidRPr="00D37C65">
        <w:rPr>
          <w:rFonts w:eastAsia="Times New Roman" w:cs="Times New Roman"/>
        </w:rPr>
        <w:t xml:space="preserve">Kristina Mennel,         </w:t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  <w:t xml:space="preserve">      </w:t>
      </w:r>
      <w:r w:rsidRPr="00D37C65">
        <w:rPr>
          <w:rFonts w:eastAsia="Times New Roman" w:cs="Times New Roman"/>
        </w:rPr>
        <w:tab/>
        <w:t xml:space="preserve">        Ivana Mihaljević, prof. </w:t>
      </w:r>
    </w:p>
    <w:p w14:paraId="050B1714" w14:textId="77777777" w:rsidR="00B37984" w:rsidRPr="00D37C65" w:rsidRDefault="00B37984" w:rsidP="00B37984">
      <w:pPr>
        <w:spacing w:after="0" w:line="240" w:lineRule="auto"/>
        <w:rPr>
          <w:rFonts w:eastAsia="Times New Roman" w:cs="Times New Roman"/>
        </w:rPr>
      </w:pPr>
      <w:r w:rsidRPr="00D37C65">
        <w:rPr>
          <w:rFonts w:eastAsia="Times New Roman" w:cs="Times New Roman"/>
        </w:rPr>
        <w:t>voditeljica računovodstva</w:t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  <w:r w:rsidRPr="00D37C65">
        <w:rPr>
          <w:rFonts w:eastAsia="Times New Roman" w:cs="Times New Roman"/>
        </w:rPr>
        <w:tab/>
      </w:r>
    </w:p>
    <w:p w14:paraId="158111CA" w14:textId="77777777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</w:rPr>
      </w:pPr>
    </w:p>
    <w:p w14:paraId="13943CB7" w14:textId="77777777" w:rsidR="00B37984" w:rsidRPr="00D37C65" w:rsidRDefault="00B37984" w:rsidP="00B37984">
      <w:pPr>
        <w:spacing w:after="0" w:line="240" w:lineRule="auto"/>
        <w:jc w:val="both"/>
        <w:rPr>
          <w:rFonts w:eastAsia="Times New Roman" w:cs="Times New Roman"/>
        </w:rPr>
      </w:pPr>
      <w:r w:rsidRPr="00D37C65">
        <w:rPr>
          <w:rFonts w:eastAsia="Times New Roman" w:cs="Times New Roman"/>
        </w:rPr>
        <w:t>Telefon za kontakt: 031/280-455</w:t>
      </w:r>
    </w:p>
    <w:p w14:paraId="4C185091" w14:textId="77777777" w:rsidR="00B37984" w:rsidRDefault="00B37984"/>
    <w:sectPr w:rsidR="00B3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2A3"/>
    <w:rsid w:val="004311D2"/>
    <w:rsid w:val="009302A3"/>
    <w:rsid w:val="00B37984"/>
    <w:rsid w:val="00D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E3B7"/>
  <w15:docId w15:val="{D5D9BBCA-6DE3-4FCC-A6E2-59859A98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11682</Characters>
  <Application>Microsoft Office Word</Application>
  <DocSecurity>0</DocSecurity>
  <Lines>97</Lines>
  <Paragraphs>27</Paragraphs>
  <ScaleCrop>false</ScaleCrop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</cp:lastModifiedBy>
  <cp:revision>3</cp:revision>
  <cp:lastPrinted>2025-07-10T10:24:00Z</cp:lastPrinted>
  <dcterms:created xsi:type="dcterms:W3CDTF">2025-07-10T10:24:00Z</dcterms:created>
  <dcterms:modified xsi:type="dcterms:W3CDTF">2025-08-07T13:29:00Z</dcterms:modified>
</cp:coreProperties>
</file>