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c8f80406e814ae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51861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CVJETNO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1.180.711,37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1.368.714,20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1.176.414,67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1.447.346,06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78.631,86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13.178,80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86.366,04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655,3</w:t>
            </w:r>
          </w:p>
        </w:tc>
      </w:tr>
    </w:tbl>
    <w:p>
      <w:pPr>
        <w:spacing w:before="0" w:after="0"/>
      </w:pPr>
    </w:p>
    <w:p>
      <w:r>
        <w:t xml:space="preserve">Osnovna škola Cvjetno posluje u skladu sa Zakonom o odgoju i obrazovanju u osnovnoj i srednjoj školi (Nar. nov., broj 87/08, 86/09, 92/10, 105/10, 90/11, 5/12, 86/12, 126/12, 94/13, 152/14, 07/17, 68/18, 98/19, 64/20, 151/22, 156/23) te Statutom škole. </w:t>
      </w:r>
    </w:p>
    <w:p>
      <w:r>
        <w:t xml:space="preserve">Škola je osnovana i započela s radom dana 01. travnja 2021. nakon što se odvojila od bivše matične škole Osnovne škole Vladimir Nazor iz Čepina. Škola obavlja djelatnost osnovnoškolskog obrazovanja te gospodarsku djelatnost iznajmljivanja školskog prostora. Osnovnoškolsko obrazovanje odvija se u jednoj zgradi u jednosmjenskoj nastavi. </w:t>
      </w:r>
    </w:p>
    <w:p>
      <w:r>
        <w:t xml:space="preserve">Financijski izvještaji Osnovne škole Cvjetno su sastavljeni nakon što su proknjižene sve poslovne promjene, događaji i transakcije za razdoblje siječanj – prosinac 2025., nakon što su knjiženja obavljena pravilno i ažurno temeljem vjerodostojne knjigovodstvene dokumentacije prema propisanom računskom planu i u skladu s financijskim planom odobrenim od nadležnih tijela uz primjenu načela po propisanom Pravilniku o proračunskom računovodstvu i Računskom planu (NN 158/23, 154/24 i 52/25).</w:t>
      </w:r>
    </w:p>
    <w:p>
      <w:r>
        <w:t xml:space="preserve">Izvještaji su sastavljeni i predaju se prema odredbama Pravilnika o financijskom izvještavanju u proračunskom računovodstvu (NN br. 37/22 i 52/25) i Okružnici Ministarstva financija za razdoblje I-XII 2025. od 16. siječnja 2026. g. u zakonom određenim rokovima što za proračunske korisnike jedinica lokalne i područne (regionalne) samouprave znači predaju do 02. veljače 2026. godine.</w:t>
      </w:r>
    </w:p>
    <w:p>
      <w:r>
        <w:t xml:space="preserve">Podaci u izvještaju se unose u eurima i eurocentima s obzirom da je od 1. siječnja 2023. euro službena valuta u Republici Hrvatskoj.</w:t>
      </w:r>
    </w:p>
    <w:p>
      <w:r>
        <w:t xml:space="preserve">Za sastavljanje i predaju financijskih izvještaja korišteni su elektronski obrasci koji su preuzeti unutar aplikacije Financijsko izvještavanje u sustavu proračuna i Registar proračunskih i izvanproračunskih korisnika – RKPFI.</w:t>
      </w:r>
    </w:p>
    <w:p>
      <w:r>
        <w:t xml:space="preserve">Osoba odgovorna za sastavljanje financijskih izvještaja je voditeljica računovodstva Kristina Mennel, a odgovorna osoba za predaju financijskih izvještaja je ravnateljica Ivana Mihaljević</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1.016.423,46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1.165.590,64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Na računu 6361 prikazuju se prihodi ostvareni od strane nadležnog Ministarstva znanosti, obrazovanja i mladih (MZOM) koji objedinjuju prihode za plaće i materijalna prava djelatnika i prihode za besplatni obrok učenicima. Navedeni cjelokupni prihodi pokazuju povećanje od 14,7 % u odnosu na prošlu godinu. Razlog tome je povećanje osnovice za obračun plaće u dva navrata, obračun plaće za veljaču za 3% te obračun plaće od rujna 2025. za dodatnih 3% što je pridonijelo značajnom rastu plaća, a ujedno i prihoda koji financiraju te iste plaće.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24.311,14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w:t>
            </w:r>
          </w:p>
        </w:tc>
      </w:tr>
    </w:tbl>
    <w:p>
      <w:pPr>
        <w:spacing w:before="0" w:after="0"/>
      </w:pPr>
    </w:p>
    <w:p>
      <w:r>
        <w:t xml:space="preserve">Konto označava prihod po osnovi sufinanciranja roditelja za plaće djelatnika u produženom boravku, ali i uplate roditelja za topli obrok u produženom boravku. Navedeni prihodi za izvještajno razdoblje su manji za 4,4% u odnosu na prošlu godinu jer je krajem godine više učenika zatražilo ispis iz programa produženog boravka u odnosu na prošlu školsku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Pozicija označava prihod od prodaje (otkupa) starog papira. U izvještajnom razdoblju prošle godine nije bio vidljiv prihod ove vrste iz razloga što nije u tom razdoblju bilo otkupa starog papira dok ove godine su naplaćeni računi za stari papir koji datiraju iz jeseni 2024.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w:t>
            </w:r>
          </w:p>
        </w:tc>
      </w:tr>
    </w:tbl>
    <w:p>
      <w:pPr>
        <w:spacing w:before="0" w:after="0"/>
      </w:pPr>
    </w:p>
    <w:p>
      <w:r>
        <w:t xml:space="preserve">Pozicija označava prihod od iznajmljivanja školske sportske dvorane. Vidi se smanjenje prihoda za 21,8% u odnosu na prošlu godinu iz razloga manje termina održavanja aktivnosti u dvorani i manje sklopljenih ugovora.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w:t>
            </w:r>
          </w:p>
        </w:tc>
      </w:tr>
    </w:tbl>
    <w:p>
      <w:pPr>
        <w:spacing w:before="0" w:after="0"/>
      </w:pPr>
    </w:p>
    <w:p>
      <w:r>
        <w:t xml:space="preserve">Donacije su za financiranje dnevnica učitelja na školskim ekskurzijama od strane turističkih agencija i donacije od strane tvrtke Konzum plus u svrhu projekta Mali veliki talenti u kojem je škola sudjelovala. Donacija se odnosi na opremu koja je knjižena kao sitan inventar. U usporedbi s razdobljem prošle godine vidljivo je 28,4% više ostvarenih prihoda za donacije. Razlog tome je knjižena donacija tvrtke Konzum plus.</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w:t>
            </w:r>
          </w:p>
        </w:tc>
      </w:tr>
    </w:tbl>
    <w:p>
      <w:pPr>
        <w:spacing w:before="0" w:after="0"/>
      </w:pPr>
    </w:p>
    <w:p>
      <w:r>
        <w:t xml:space="preserve">Donacije su također od strane tvrtke Konzum plus u svrhu projekta Mali veliki talenti u kojem je škola sudjelovala. Donacija se odnosi na opremu koja je knjižena kao dugotrajna imovina. Prošle godine su kapitalne donacije bile značajno veće jer je škola sudjelovala u više projekata koje su rezultirale donacijama dugotrajne imovine.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109.920,59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161.670,48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w:t>
            </w:r>
          </w:p>
        </w:tc>
      </w:tr>
    </w:tbl>
    <w:p>
      <w:pPr>
        <w:spacing w:before="0" w:after="0"/>
      </w:pPr>
    </w:p>
    <w:p>
      <w:r>
        <w:t xml:space="preserve">Na računu 6711 evidentiraju se prihodi ostvareni od osnivača Grada Osijeka za financiranje redovne djelatnosti. Za izvještajno razdoblje prihodi iskazuju povećanje za 47,1% u odnosu na izvještajno razdoblje prošle godine. Razlog povećanju je više zaposlenih pomoćnika u nastavi nego u istom razdoblju prošle godine što je rezultiralo većim rashodima za njihove plaće, ali i prihodima računa 6711. Osim toga, povećani su rashodi materijala i usluga tekućeg i investicijskog održavanja koje se odrazilo na prihod iz nadležnog proračuna u većoj mjeri nego što je to bilo u prošlogodišnjem izvještajnom razdoblju.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w:t>
            </w:r>
          </w:p>
        </w:tc>
      </w:tr>
    </w:tbl>
    <w:p>
      <w:pPr>
        <w:spacing w:before="0" w:after="0"/>
      </w:pPr>
    </w:p>
    <w:p>
      <w:r>
        <w:t xml:space="preserve">Na računu 6712 evidentiraju se prihodi ostvareni od osnivača Grada Osijeka za financiranje nabave nefinancijske imovine. Za izvještajno razdoblje prihodi  pokazuju značajno smanjenje u odnosu na izvještajno razdoblje prošle godine. Razlog manjim prihodima je manje dodijeljenih sredstava od strane osnivača koja su se mogla planirati i utrošiti u 2025. godini.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836.734,65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1.077.070,16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Na računu 3111 evidentiraju se rashodi za plaće djelatnika koje financira Ministarstvo znanosti, obrazovanja i mladih (MZOM), ali i plaće djelatnika u produženom boravku kojeg financira Grad Osijek i djelomično roditelji polaznika produženog boravka.</w:t>
      </w:r>
    </w:p>
    <w:p>
      <w:r>
        <w:t xml:space="preserve">Račun 3111 uključuje i plaće pomoćnika u nastavi iz projekta „Osigurajmo im jednakost 8“ u koordinaciji s Gradom Osijekom. Odstupanje od 28,7% u odnosu na 2024. godinu je iz razloga već spomenute povećane osnovice za obračun plaće, ali najvećim dijelom je zbog prestanka iskazivanja plaće za prosinac 2025. na konto rashoda budućih razdoblja – 19311 (aktivna vremenska razgraničenja) primjenom novog Pravilnika o proračunskom računovodstvu i Računskom planu (NN 158/23, 154/24 i 52/25). Pravilnik propisuje prestanak korištenja tog konta u 2025. godini što je rezultiralo iskazivanjem rashoda trinaest plaća od strane MZOM u izvještajnom razdoblju (prosinac 2024., siječanj, veljača, ožujak, travanj, svibanj, lipanj, srpanj, kolovoz, rujan, listopad, studeni i prosinac 2025.) umjesto dvanaest plaća kako je bilo u prošlogodišnjem izvještaju.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123.224,05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161.135,27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r>
        <w:t xml:space="preserve">Račun prikazuje značajno povećanje od 30,8% iz istog razloga objašnjenog u prethodnoj bilješki zbog iskazivanja plaće za prosinac 2025. u izvještajnom razdoblju.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w:t>
            </w:r>
          </w:p>
        </w:tc>
      </w:tr>
    </w:tbl>
    <w:p>
      <w:pPr>
        <w:spacing w:before="0" w:after="0"/>
      </w:pPr>
    </w:p>
    <w:p>
      <w:r>
        <w:t xml:space="preserve">Račun podrazumijeva razni uredski materijal, sredstva za čišćenje i higijenski materijal poput ubrusa. U tekućoj godini, je vidljivo značajno smanjenje od 62,1% iz razloga što su stvorene dovoljne zalihe navedenog u prosincu 2024. godine kad je osnivač Grad Osijek izmjenama financijskog plana 2024. godine osigurao školama više sredstva za svrhe rashoda uredskog materijala te sredstava za čišćenje i higijenu.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w:t>
            </w:r>
          </w:p>
        </w:tc>
      </w:tr>
    </w:tbl>
    <w:p>
      <w:pPr>
        <w:spacing w:before="0" w:after="0"/>
      </w:pPr>
    </w:p>
    <w:p>
      <w:r>
        <w:t xml:space="preserve">U 2025. je vidljivo značajno povećanje ovog rashoda iz razloga nužne potrebe raznih popravaka u školi na objektu ili opremi i pripremu učionica škole za početak kabinetske nastave.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Račun iskazuje troškove koji su bili nužni početkom 2025. godine poput servisa traktorske kosilice, ali i ugradnje sigurnosne brave sukladno preporukama osnivača i poštujući nova sigurnosna pravila koja su nastupila u 2025. godini za sve škole u RH i to je glavni razlog tako značajnom odstupanju rashoda ove prirode u usporedbi s prošlom godinom. Nadalje, u ljeto 2025. izvršeni su građevinski radovi stvaranja nove učionice zbog održavanja kontinuiteta jednosmjenske nastave.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w:t>
            </w:r>
          </w:p>
        </w:tc>
      </w:tr>
    </w:tbl>
    <w:p>
      <w:pPr>
        <w:spacing w:before="0" w:after="0"/>
      </w:pPr>
    </w:p>
    <w:p>
      <w:r>
        <w:t xml:space="preserve">Račun iskazuje troškove obveznih zdravstvenih pregleda i sistematskih pregleda djelatnika u skladu s odredbama Temeljnog kolektivnog ugovora. S obzirom da 2025. je značajno manji broj djelatnika ostvario pravo na pregled, ovaj račun pokazuje značajno smanjene od 35,3% u odnosu na prošlu godinu.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r>
        <w:t xml:space="preserve">Na kontu 3237 se iskazuju troškovi usluga vođenja zaštite na radu i zaštite od požara za školu od strane jedne tvrtke, zatim vođenje, provjera i evaluacija HACCP sustava u školskoj kuhinji. Vidljivo je povećanje na kontu u odnosu na prošlu godinu zbog potrebe procjene rizika vodoopskrbne mreže za koji je škola morala pribaviti odgovarajući elaborat.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w:t>
            </w:r>
          </w:p>
        </w:tc>
      </w:tr>
    </w:tbl>
    <w:p>
      <w:pPr>
        <w:spacing w:before="0" w:after="0"/>
      </w:pPr>
    </w:p>
    <w:p>
      <w:r>
        <w:t xml:space="preserve">Račun iskazuje većinskim dijelom naknadu poslodavca za nezapošljavanje osoba s invaliditetom. Razlog takvom povećanju rashoda u odnosu na prošlu godinu je broj zaposlenih koji se u prosjeku povećao kroz 2025. godinu. Škola je u 2024. godini veći dio godine morala platiti naknadu za jednu osobu dok je ta naknada u cijeloj 2025. godini za dvije osobe.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w:t>
            </w:r>
          </w:p>
        </w:tc>
      </w:tr>
    </w:tbl>
    <w:p>
      <w:pPr>
        <w:spacing w:before="0" w:after="0"/>
      </w:pPr>
    </w:p>
    <w:p>
      <w:r>
        <w:t xml:space="preserve">Račun 4 predstavlja sve rashode koji su knjiženi kroz razred 4 računskog plana u izvještajnom razdoblju i pokazuje nabavku dugotrajne imovine. U ovom razdoblju ostvareno je znatno manje nego u prethodnoj godini zbog manje dodijeljenih sredstava od strane osnivača, manje donacija, ali i manje utrošenih vlastitih sredstava škole za nabavu imovine.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86.366,04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655,3</w:t>
            </w:r>
          </w:p>
        </w:tc>
      </w:tr>
    </w:tbl>
    <w:p>
      <w:pPr>
        <w:spacing w:before="0" w:after="0"/>
      </w:pPr>
    </w:p>
    <w:p>
      <w:r>
        <w:t xml:space="preserve">U izvještajnom razdoblju ostvaren je manjak prihoda i primitaka u iznosu od 86.366,04 €. Manjak je metodološke prirode nastao zbog knjiženja spomenutog rashoda plaće za prosinac 2025. u izvještajno razdoblje 2025. godine umjesto korištenja kontinuiranih rashoda budućih razdoblja kako je to bilo prethodnih godina. Metodološki manjak će biti pokriven u siječnju 2026. godine kada dospijeva plaća za prosinac 2025.</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103.916,95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w:t>
            </w:r>
          </w:p>
        </w:tc>
      </w:tr>
    </w:tbl>
    <w:p>
      <w:pPr>
        <w:spacing w:before="0" w:after="0"/>
      </w:pPr>
    </w:p>
    <w:p>
      <w:r>
        <w:t xml:space="preserve">Zbrajanjem ostvarenog manjka prihoda i primitaka u izvještajnom razdoblju u iznosu od 86.366,04 € i prenesenog manjka prihoda i primitaka na dan 31.12.2024. g. u iznosu od 17.550,91 € dolazi se do rezultata ili manjka prihoda i primitaka za pokriće u sljedećem razdoblju u iznosu od 103.916,95 €.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novčanih sredstava na kraju izvještajnog razdoblja (šifra 11K) je 0,00 €. Razlog tome je ukidanje bankovnih računa svih proračunskih korisnika Grada Osijeka i funkcioniranje preko jedinstvenog računa na dan 31.12.2022.</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153.640,82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107.660,06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Na poziciji se može vidjeti ukupna vrijednost kratkotrajne i dugotrajne imovine nakon zakonsko provedenog ispravka vrijednosti.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računu je iskazan iznos od 270,91 € za više uplaćene poreze i doprinose zbog korektivnih obračuna plaće zaposlenika tijekom 2024. g. Potraživanja su prema Poreznoj upravi, a kad Porezna uprava obradi nalog povrata, zatvorit će se potraživanja i bit će izvršen povrat sredstava u proračun/račun osnivača.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Na računu je iskazan iznos potraživanja za refundacije bolovanja na teret Hrvatskog zavoda za zdravstveno osiguranje.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97.570,27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neplaćena nedospjela potraživanja za plaću prosinca 2025. koju financira MZOM, uslugu produženog boravka koju je koristio učenik iz Ukrajine za mjesece listopad, studeni i prosinac 2025. te uplatu za školski obrok za mjesec prosinac 2025. koju također doznačava Ministarstvo znanosti, obrazovanja i mladih.</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Odnosi se na neplaćena potraživanja za račune za produženi boravak u iznosu od 3.621,95 €. Većinski dio su nedospjela potraživanja s obzirom da računi za produženi boravak za mjesec prosinac 2025. dospijevaju u siječnju 2026.</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w:t>
            </w:r>
          </w:p>
        </w:tc>
      </w:tr>
    </w:tbl>
    <w:p>
      <w:pPr>
        <w:spacing w:before="0" w:after="0"/>
      </w:pPr>
    </w:p>
    <w:p>
      <w:r>
        <w:t xml:space="preserve">Račun prikazuje potraživanja za račune najma školske sportske dvorane, te računa za otkup starog papira. Većinski dio su nedospjela potraživanja s obzirom da računi za najam dvorane za mjesec prosinac 2025. dospijevaju u siječnju 2026.</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243,5</w:t>
            </w:r>
          </w:p>
        </w:tc>
      </w:tr>
    </w:tbl>
    <w:p>
      <w:pPr>
        <w:spacing w:before="0" w:after="0"/>
      </w:pPr>
    </w:p>
    <w:p>
      <w:r>
        <w:t xml:space="preserve">Na računu je iskazan iznos sredstava koje je škola do 31.12.2022. knjižila na žiro-računu (račun 1112-novac na računu kod tuzemnih poslovnih banaka), ali se od 01.01.2023. knjiži na računu 16721 koji označava jedinstveni račun Riznice osnivača, a stanje na dan 31.12.2025. iznosi 11.379,56 €.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w:t>
            </w:r>
          </w:p>
        </w:tc>
      </w:tr>
    </w:tbl>
    <w:p>
      <w:pPr>
        <w:spacing w:before="0" w:after="0"/>
      </w:pPr>
    </w:p>
    <w:p>
      <w:r>
        <w:t xml:space="preserve">Radi se o ispravku vrijednosti potraživanja koja imaju prekoračenje dospijeća više od 2 godine te je primijenjena stopa od 100% sukladno Pravilniku o proračunskom računovodstvu. Potraživanje se ne otpisuje, već se samo izvršava ispravak vrijednosti.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83.079,36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tog računa je 0,00 s obzirom da se od 1. siječnja 2025. taj konto više ne koristi sukladno Pravilniku o proračunskom računovodstvu, stanje na dan 01.01.2025. je trebalo prenijeti na odgovarajuće račune rashoda, a rashodi prosinca 2025. koji bi se prije knjižili preko konta 193, moraju se priznati kao rashod tekućeg izvještajnog razdoblja što je rezultiralo već spomenutim metodološkim manjkom.</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-103.916,95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w:t>
            </w:r>
          </w:p>
        </w:tc>
      </w:tr>
    </w:tbl>
    <w:p>
      <w:pPr>
        <w:spacing w:before="0" w:after="0"/>
      </w:pPr>
    </w:p>
    <w:p>
      <w:r>
        <w:t xml:space="preserve">Podaci u bilanci su iskazani nakon obvezne korekcije rezultata sukladno čl. 215. Pravilnika o proračunskom računovodstvu. Iskazan je manjak prihoda poslovanja (račun 92221) u iznosu od 101.554,70 € i manjak prihoda od nefinancijske imovine (račun 92222) u iznosu od 2.362,25 €.</w:t>
      </w:r>
    </w:p>
    <w:p>
      <w:r>
        <w:t xml:space="preserve">Navedeni iznosi su knjiženi nakon korekcije rezultata s datumom 31.12.2025. godine za nabavljenu nefinancijsku imovinu u iznosu  od 5.371,93 €, koja je financirana prihodima koji su prispjeli u 2025. g. Navedeni prihodi odnose se na prihode iz nadležnog proračuna za financiranje rashoda za nabavu nefinancijske imovine (od strane osnivača Grada Osijeka), kapitalne pomoći proračunskim korisnicima iz proračuna koji im nije nadležan (od strane Ministarstva znanosti, obrazovanja i mladih) i kapitalne donacije trgovačkih društava.</w:t>
      </w:r>
    </w:p>
    <w:p>
      <w:r>
        <w:t xml:space="preserve">Ukupan rezultat 2025. g. u iznosu od -103.916,95 € nakon korekcije ostao je isti i u bilanci i u obrascu izvještaja o prihodima i rashodima, ali prikaz rezultata po aktivnostima u bilanci razlikuje se onome u obrascu PR-RAS.</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45.470,03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45.470,03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Škola na izvanbilančnim zapisima ima knjiženu tuđu imovinu dobivenu na korištenje u ukupnom iznosu od 45.470,03 €. Tuđa imovina se odnosi na računalnu opremu dobivenu na korištenje od strane Carnet-a za tekuće projekte i ostalu imovinu (računala, uredski namještaj i dr.) kojom je škola opremljena prilikom osnivanja, ali još nije dobivena odluka o prijenosu vlasništva od strane osnivača Grada Osijeka. Odluka o prijenosu vlasništva koja je dobivena krajem 2021. godine je knjižena u 2021. godini i odnosi se na većinski dio dugotrajne i kratkotrajne imovine koja se vodi u poslovnim knjigama škole na računima razreda 0 – nefinancijska imovina. Dio imovine koji je prisutan u školi i koji bi trebao biti predmet nove odluke o prijenosu vlasništva je potrebno knjižiti na izvanbilančne zapise – tuđa imovina dobivena na korištenje po mišljenju unutarnje revizije Grada Osijeka, ali i na temelju Okružnice Ministarstva financija o sastavljanju i predaji financijskih izvještaja proračunskih korisnika za razdoblje od 1. siječnja do 30. rujna 2022.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Školska ustanova nema iskazane podatke u bilanci koji se odnose na popis sudskih sporova u tijeku niti ugovornih odnosa i slično koji uz ispunjenje određenih uvjeta, mogu postati obveza ili imovina, pa se obvezne bilješke na tablicama uz Bilancu ne iskazuju.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1.193.890,17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1.455.080,24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Šifra 0912 – Osnovno obrazovanje iznosi 1.455.080,24 € i jednako je iznosu Ukupni rashodi u obrascu PR-RAS (šifra Y034).</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53.714,94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se proveo ispravak vrijednosti imovine te u skladu s tim dogodila se promjena u vrijednosti imovine. S obzirom na odredbe novog Pravilnika koji po prvi put zahtijeva knjiženje ispravka vrijednosti imovine preko skupine 915, ispravak se iskazuje i u ovom obrascu.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škola nema dospjele obveze za prikaz u izvještaju.</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540a27938d64b74" /></Relationships>
</file>